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F4" w:rsidRDefault="007564F4" w:rsidP="007564F4">
      <w:bookmarkStart w:id="0" w:name="_GoBack"/>
      <w:r>
        <w:t xml:space="preserve">Резюме на Програма </w:t>
      </w:r>
      <w:proofErr w:type="spellStart"/>
      <w:r>
        <w:t>Урбакт</w:t>
      </w:r>
      <w:proofErr w:type="spellEnd"/>
      <w:r>
        <w:t xml:space="preserve"> IV 2021-2027</w:t>
      </w:r>
    </w:p>
    <w:p w:rsidR="007564F4" w:rsidRDefault="007564F4" w:rsidP="007564F4">
      <w:proofErr w:type="spellStart"/>
      <w:r>
        <w:t>Урбакт</w:t>
      </w:r>
      <w:proofErr w:type="spellEnd"/>
      <w:r>
        <w:t xml:space="preserve"> IV обхваща териториите на 27-те държави - членки на Европейския съюз, както и Норвегия и Швейцария и още пет страни по линия на ИПА - Албания, Черна гора, Сърбия, Република Северна Македония и Босна и Херцеговина. Други държави също могат да участват със собствено финансиране.</w:t>
      </w:r>
    </w:p>
    <w:p w:rsidR="007564F4" w:rsidRDefault="007564F4" w:rsidP="007564F4">
      <w:r>
        <w:t xml:space="preserve">Програмата обхваща цялата територия на участващите страни и е отворена за градове от всякакъв размер. </w:t>
      </w:r>
      <w:proofErr w:type="spellStart"/>
      <w:r>
        <w:t>Урбакт</w:t>
      </w:r>
      <w:proofErr w:type="spellEnd"/>
      <w:r>
        <w:t xml:space="preserve"> конкретно подкрепя градските власти от ниво квартал до функционална градска зона в зависимост от обхванатата тема и въздействието, което може да бъде оказано. Това включва връзки между градовете и селските райони и трансгранични функционални градски зони.</w:t>
      </w:r>
    </w:p>
    <w:p w:rsidR="007564F4" w:rsidRDefault="007564F4" w:rsidP="007564F4">
      <w:r>
        <w:t xml:space="preserve">Дейностите в обхвата на </w:t>
      </w:r>
      <w:proofErr w:type="spellStart"/>
      <w:r>
        <w:t>Урбакт</w:t>
      </w:r>
      <w:proofErr w:type="spellEnd"/>
      <w:r>
        <w:t>, са в рамките на един приоритет за насърчаване на интегрираното устойчиво градско развитие чрез сътрудничество. Мерките за подкрепа са по три специфични цели:</w:t>
      </w:r>
    </w:p>
    <w:p w:rsidR="007564F4" w:rsidRDefault="007564F4" w:rsidP="007564F4">
      <w:r>
        <w:t>1) Използване на транснационални мрежи за подобряване на капацитета на европейските градове, за: съвместно разработване и прилагане на Интегрирани планове за действие, свързани с общи предизвикателства пред устойчивото градско развитие; трансфериране на добри градски практики; разработване на инвестиционни планове за възпроизвеждане на елементи от Градските иновативни действия.</w:t>
      </w:r>
    </w:p>
    <w:p w:rsidR="007564F4" w:rsidRDefault="007564F4" w:rsidP="007564F4">
      <w:r>
        <w:t>2) Подобряване на капацитета на заинтересованите градски страни за разработване и прилагане на устойчиви градски политики, практики и иновации за интегрирано местно устойчиво развитие;</w:t>
      </w:r>
    </w:p>
    <w:p w:rsidR="007564F4" w:rsidRDefault="007564F4" w:rsidP="007564F4">
      <w:r>
        <w:t xml:space="preserve">3) Гарантиране, че знанията и практиките на </w:t>
      </w:r>
      <w:proofErr w:type="spellStart"/>
      <w:r>
        <w:t>Урбакт</w:t>
      </w:r>
      <w:proofErr w:type="spellEnd"/>
      <w:r>
        <w:t xml:space="preserve"> са достъпни за практиците и вземащите решения, за да бъдат включени в местните, регионалните, националните и европейските градски политики, по-специално чрез Европейската градска инициатива и с принос към Градската програма за ЕС.</w:t>
      </w:r>
    </w:p>
    <w:p w:rsidR="007564F4" w:rsidRDefault="007564F4" w:rsidP="007564F4">
      <w:r>
        <w:t>Основни целеви групи по Програмата са градовете от 27-те държави-членки на ЕС, Норвегия и Швейцария, както и от страните по ИПА.</w:t>
      </w:r>
    </w:p>
    <w:p w:rsidR="007564F4" w:rsidRDefault="007564F4" w:rsidP="007564F4">
      <w:r>
        <w:t>Бенефициенти са:</w:t>
      </w:r>
    </w:p>
    <w:p w:rsidR="007564F4" w:rsidRDefault="007564F4" w:rsidP="007564F4">
      <w:r>
        <w:t>•</w:t>
      </w:r>
      <w:r>
        <w:tab/>
        <w:t>Провинциални, регионални и национални власти, по градските теми;</w:t>
      </w:r>
    </w:p>
    <w:p w:rsidR="007564F4" w:rsidRDefault="007564F4" w:rsidP="007564F4">
      <w:r>
        <w:t>•</w:t>
      </w:r>
      <w:r>
        <w:tab/>
        <w:t>Университети и изследователски центрове, по градските проблеми;</w:t>
      </w:r>
    </w:p>
    <w:p w:rsidR="007564F4" w:rsidRDefault="007564F4" w:rsidP="007564F4">
      <w:r>
        <w:t>•</w:t>
      </w:r>
      <w:r>
        <w:tab/>
        <w:t>Управляващите органи на фондовете по Кохезионната политика.</w:t>
      </w:r>
    </w:p>
    <w:p w:rsidR="007564F4" w:rsidRDefault="007564F4" w:rsidP="007564F4">
      <w:r>
        <w:t>Бюджетът на Програмата, която се финансирана от ЕФРР и ИПА е 108 млн. евро.</w:t>
      </w:r>
    </w:p>
    <w:bookmarkEnd w:id="0"/>
    <w:p w:rsidR="006E5714" w:rsidRDefault="006E5714"/>
    <w:sectPr w:rsidR="006E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F4"/>
    <w:rsid w:val="006E5714"/>
    <w:rsid w:val="007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70B1-7883-4660-B8AB-62879764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s.petkov</dc:creator>
  <cp:keywords/>
  <dc:description/>
  <cp:lastModifiedBy>s.petkov</cp:lastModifiedBy>
  <cp:revision>1</cp:revision>
  <dcterms:created xsi:type="dcterms:W3CDTF">2022-11-18T09:50:00Z</dcterms:created>
  <dcterms:modified xsi:type="dcterms:W3CDTF">2022-11-18T09:50:00Z</dcterms:modified>
</cp:coreProperties>
</file>